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7807D91E" w14:textId="0ECE0186" w:rsidR="002D2539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F362AD">
        <w:rPr>
          <w:rStyle w:val="Strong"/>
          <w:rFonts w:ascii="Arial" w:hAnsi="Arial" w:cs="Arial"/>
          <w:sz w:val="28"/>
          <w:szCs w:val="28"/>
          <w:u w:val="single"/>
        </w:rPr>
        <w:t>7</w:t>
      </w:r>
      <w:r w:rsidR="00722AED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="00F362AD" w:rsidRPr="00F362AD">
        <w:rPr>
          <w:rStyle w:val="Strong"/>
          <w:rFonts w:ascii="Arial" w:hAnsi="Arial" w:cs="Arial"/>
          <w:sz w:val="28"/>
          <w:szCs w:val="28"/>
          <w:u w:val="single"/>
        </w:rPr>
        <w:t>Complex Cases in Buprenorphine Treatment, Part 1</w:t>
      </w:r>
    </w:p>
    <w:p w14:paraId="4B8D1041" w14:textId="571C697E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49EAB869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F362AD">
        <w:rPr>
          <w:rFonts w:asciiTheme="minorHAnsi" w:hAnsiTheme="minorHAnsi" w:cstheme="minorHAnsi"/>
          <w:b/>
          <w:bCs/>
          <w:noProof/>
          <w:sz w:val="28"/>
          <w:szCs w:val="28"/>
        </w:rPr>
        <w:t>2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bwxOyPPETPBlFRpBLA9poFhmxnVxKtJXc+CXTacaC0fq0IQfruw2Y/yCapK8B0n/ibIgFCQIUc23o0wJ4tIdw==" w:salt="S6O2/qAUPqzHUQMUOusDt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C4ED0"/>
    <w:rsid w:val="005D06B1"/>
    <w:rsid w:val="005F2DDD"/>
    <w:rsid w:val="00613B79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362AD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B495D"/>
    <w:rsid w:val="0083343F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2023-02-23T22:31:00Z</dcterms:created>
  <dcterms:modified xsi:type="dcterms:W3CDTF">2023-02-23T22:31:00Z</dcterms:modified>
</cp:coreProperties>
</file>