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2CC" w:rsidRDefault="00681FBF" w:rsidP="00C15731">
      <w:pPr>
        <w:jc w:val="center"/>
        <w:rPr>
          <w:b/>
          <w:sz w:val="24"/>
          <w:szCs w:val="24"/>
        </w:rPr>
      </w:pPr>
      <w:r>
        <w:rPr>
          <w:b/>
          <w:sz w:val="24"/>
          <w:szCs w:val="24"/>
        </w:rPr>
        <w:t>Care Team Guidance</w:t>
      </w:r>
      <w:r w:rsidR="00C15731">
        <w:rPr>
          <w:b/>
          <w:sz w:val="24"/>
          <w:szCs w:val="24"/>
        </w:rPr>
        <w:t xml:space="preserve"> </w:t>
      </w:r>
    </w:p>
    <w:p w:rsidR="00C15731" w:rsidRDefault="00C15731" w:rsidP="00C15731">
      <w:pPr>
        <w:jc w:val="center"/>
        <w:rPr>
          <w:b/>
          <w:sz w:val="24"/>
          <w:szCs w:val="24"/>
        </w:rPr>
      </w:pPr>
      <w:r>
        <w:rPr>
          <w:b/>
          <w:sz w:val="24"/>
          <w:szCs w:val="24"/>
        </w:rPr>
        <w:t>Managing Chronic Pain and Tapering Opiates</w:t>
      </w:r>
    </w:p>
    <w:p w:rsidR="00C15731" w:rsidRPr="004A1D2E" w:rsidRDefault="00C15731" w:rsidP="00C15731">
      <w:pPr>
        <w:spacing w:after="0"/>
        <w:rPr>
          <w:b/>
        </w:rPr>
      </w:pPr>
      <w:r w:rsidRPr="004A1D2E">
        <w:rPr>
          <w:b/>
        </w:rPr>
        <w:t>The Discussion – Starting with Facts</w:t>
      </w:r>
    </w:p>
    <w:p w:rsidR="00681FBF" w:rsidRPr="004A1D2E" w:rsidRDefault="004A1D2E" w:rsidP="00C15731">
      <w:pPr>
        <w:spacing w:after="0"/>
        <w:rPr>
          <w:u w:val="single"/>
        </w:rPr>
      </w:pPr>
      <w:r>
        <w:rPr>
          <w:u w:val="single"/>
        </w:rPr>
        <w:t>T</w:t>
      </w:r>
      <w:r w:rsidR="00681FBF" w:rsidRPr="004A1D2E">
        <w:rPr>
          <w:u w:val="single"/>
        </w:rPr>
        <w:t xml:space="preserve">he historical account of pain management:  </w:t>
      </w:r>
    </w:p>
    <w:p w:rsidR="00C15731" w:rsidRDefault="00C15731" w:rsidP="00C15731">
      <w:pPr>
        <w:spacing w:after="0"/>
      </w:pPr>
      <w:r>
        <w:t>“Over the past 20 years in the United States</w:t>
      </w:r>
      <w:r w:rsidR="00417768">
        <w:t>,</w:t>
      </w:r>
      <w:r>
        <w:t xml:space="preserve"> we as a medical system</w:t>
      </w:r>
      <w:r w:rsidR="00417768">
        <w:t>,</w:t>
      </w:r>
      <w:r>
        <w:t xml:space="preserve"> have been attempting to control chronic pain with opioid medications.  It was believed this practice would have low</w:t>
      </w:r>
      <w:r w:rsidR="00681FBF">
        <w:t>-risk of</w:t>
      </w:r>
      <w:r>
        <w:t xml:space="preserve"> addiction </w:t>
      </w:r>
      <w:r w:rsidR="00681FBF">
        <w:t xml:space="preserve">and minimal </w:t>
      </w:r>
      <w:r>
        <w:t>side effects, and that this treatment would be effective.”</w:t>
      </w:r>
    </w:p>
    <w:p w:rsidR="00C15731" w:rsidRDefault="0073275C" w:rsidP="00C15731">
      <w:pPr>
        <w:spacing w:after="0"/>
      </w:pPr>
      <w:r>
        <w:t>“</w:t>
      </w:r>
      <w:r w:rsidR="00C15731">
        <w:t>Extensive review by the Center for Dis</w:t>
      </w:r>
      <w:r w:rsidR="009E0A7D">
        <w:t>e</w:t>
      </w:r>
      <w:r w:rsidR="00C15731">
        <w:t>ase Control has shown th</w:t>
      </w:r>
      <w:r w:rsidR="00681FBF">
        <w:t xml:space="preserve">at this has not been the outcome.  </w:t>
      </w:r>
      <w:r>
        <w:t xml:space="preserve"> </w:t>
      </w:r>
      <w:r w:rsidR="00417768">
        <w:t>You may have heard on the radio or television t</w:t>
      </w:r>
      <w:r>
        <w:t>here is increasing concern about the number of deaths from opioid medications</w:t>
      </w:r>
      <w:r w:rsidR="00417768">
        <w:t>.  This has</w:t>
      </w:r>
      <w:r>
        <w:t xml:space="preserve"> affected </w:t>
      </w:r>
      <w:r w:rsidR="00417768">
        <w:t xml:space="preserve">cities and states throughout </w:t>
      </w:r>
      <w:r>
        <w:t>the entire nation</w:t>
      </w:r>
      <w:r w:rsidR="00417768">
        <w:t>, including the one we live in</w:t>
      </w:r>
      <w:r>
        <w:t>.  Many people are not aware that many of these deaths have occurred</w:t>
      </w:r>
      <w:r w:rsidR="00417768">
        <w:t xml:space="preserve"> are with</w:t>
      </w:r>
      <w:r>
        <w:t xml:space="preserve"> people who thought </w:t>
      </w:r>
      <w:r w:rsidR="00417768">
        <w:t xml:space="preserve">that because </w:t>
      </w:r>
      <w:r>
        <w:t>they were taking medications prescribed</w:t>
      </w:r>
      <w:r w:rsidR="00417768">
        <w:t xml:space="preserve"> by a doctor</w:t>
      </w:r>
      <w:r>
        <w:t xml:space="preserve"> </w:t>
      </w:r>
      <w:r w:rsidR="00417768">
        <w:t>there was not a danger of overdose or death.   This is not the case.  The deaths are not limited to those that use illegal drugs.</w:t>
      </w:r>
    </w:p>
    <w:p w:rsidR="0073275C" w:rsidRDefault="0073275C" w:rsidP="00C15731">
      <w:pPr>
        <w:spacing w:after="0"/>
      </w:pPr>
      <w:r>
        <w:t>We now know that the treatment of pain with opioid medications have not been shown to improve care for patients with chronic pain.  In fact, they have done more damage than good.”</w:t>
      </w:r>
    </w:p>
    <w:p w:rsidR="00351D8F" w:rsidRPr="004A1D2E" w:rsidRDefault="00351D8F" w:rsidP="00C15731">
      <w:pPr>
        <w:spacing w:after="0"/>
        <w:rPr>
          <w:u w:val="single"/>
        </w:rPr>
      </w:pPr>
      <w:r w:rsidRPr="004A1D2E">
        <w:rPr>
          <w:u w:val="single"/>
        </w:rPr>
        <w:t>Describing the transition to alternative treatments:</w:t>
      </w:r>
    </w:p>
    <w:p w:rsidR="0073275C" w:rsidRDefault="00417768" w:rsidP="00C15731">
      <w:pPr>
        <w:spacing w:after="0"/>
      </w:pPr>
      <w:r>
        <w:t>“</w:t>
      </w:r>
      <w:r w:rsidR="0073275C">
        <w:t xml:space="preserve">For the reasons described above, many states across the country have passed laws limiting the use </w:t>
      </w:r>
      <w:r>
        <w:t xml:space="preserve">and prescription </w:t>
      </w:r>
      <w:r w:rsidR="0073275C">
        <w:t>of opioid medications.  Meaning, providers are limited in the number of opioids they prescribe for a person.</w:t>
      </w:r>
      <w:r>
        <w:t xml:space="preserve">  Our office, after careful review of the research findings, has decided that the best treatment for managing patients with chronic pain is to work with each patient on a one to one basis and explore approaches to managing their chronic pain that will be safer and better for each patient over time.”</w:t>
      </w:r>
    </w:p>
    <w:p w:rsidR="00417768" w:rsidRDefault="00417768" w:rsidP="00C15731">
      <w:pPr>
        <w:spacing w:after="0"/>
      </w:pPr>
      <w:r>
        <w:t xml:space="preserve">“We believe you when you say you have constant, or chronic pain.  We don’t see you as an addict or as someone who is doing something wrong.  Instead, we want to work with you to explore other treatments and in partnership </w:t>
      </w:r>
      <w:r w:rsidR="00351D8F">
        <w:t>gradually and carefully move away from the opioid medications.  There are many options and together we’</w:t>
      </w:r>
      <w:r w:rsidR="007625D4">
        <w:t>ll explore the</w:t>
      </w:r>
      <w:r w:rsidR="00351D8F">
        <w:t xml:space="preserve"> options that will work best for you.”</w:t>
      </w:r>
    </w:p>
    <w:p w:rsidR="00351D8F" w:rsidRDefault="00351D8F" w:rsidP="00C15731">
      <w:pPr>
        <w:spacing w:after="0"/>
      </w:pPr>
      <w:r w:rsidRPr="004A1D2E">
        <w:rPr>
          <w:u w:val="single"/>
        </w:rPr>
        <w:t>The tapering discussion</w:t>
      </w:r>
      <w:r>
        <w:t>:</w:t>
      </w:r>
    </w:p>
    <w:p w:rsidR="00351D8F" w:rsidRDefault="00351D8F" w:rsidP="00C15731">
      <w:pPr>
        <w:spacing w:after="0"/>
      </w:pPr>
      <w:r>
        <w:t>“Stopping opioids suddenly, while not life threatening, can cause severe side effects, often described as withdrawal.  The common withdrawal symptoms are nausea, vomiting, diarrhea, shaking, anxiousness</w:t>
      </w:r>
      <w:r w:rsidR="008658D8">
        <w:t>,</w:t>
      </w:r>
      <w:r>
        <w:t xml:space="preserve"> and </w:t>
      </w:r>
      <w:r w:rsidR="004A1D2E">
        <w:t>sleeplessness.  To minimize withdrawal</w:t>
      </w:r>
      <w:r>
        <w:t xml:space="preserve"> effects, we want to work with you on a planned approach, under medical supervision.  By slowly reducing the opioid medications the symptoms </w:t>
      </w:r>
      <w:r w:rsidR="004A1D2E">
        <w:t xml:space="preserve">are only mild.  Most people who are withdrawn from opiates under medical supervision surprisingly find that their pain is not significantly worse, and many report they feel much better.  They are often surprised by how much more energy, alertness, and improved memory they have.  Other benefits patients report are improved relationships with family and friends, improved relations and functions at work and the overall feeling of less depression or feeling down.  Stopping the opioids also improves the side effects of chronic constipation, loss of libido, and daytime drowsiness that patients have from taking opioids.”  </w:t>
      </w:r>
    </w:p>
    <w:p w:rsidR="004A1D2E" w:rsidRDefault="004A1D2E" w:rsidP="00C15731">
      <w:pPr>
        <w:spacing w:after="0"/>
      </w:pPr>
    </w:p>
    <w:p w:rsidR="004A1D2E" w:rsidRDefault="0092208C" w:rsidP="00C15731">
      <w:pPr>
        <w:spacing w:after="0"/>
        <w:rPr>
          <w:b/>
        </w:rPr>
      </w:pPr>
      <w:r w:rsidRPr="0092208C">
        <w:rPr>
          <w:b/>
        </w:rPr>
        <w:t>Evaluating Chronic Pain</w:t>
      </w:r>
    </w:p>
    <w:p w:rsidR="0092208C" w:rsidRDefault="00337FAE" w:rsidP="00C15731">
      <w:pPr>
        <w:spacing w:after="0"/>
      </w:pPr>
      <w:r>
        <w:t>Anticipate the evaluation and assessment</w:t>
      </w:r>
      <w:r w:rsidR="0092208C">
        <w:t xml:space="preserve"> taking 45-60 minutes.  This can be done in a single visit or over multiple visits over 1-2 weeks.</w:t>
      </w:r>
    </w:p>
    <w:p w:rsidR="0092208C" w:rsidRDefault="0092208C" w:rsidP="00C15731">
      <w:pPr>
        <w:spacing w:after="0"/>
      </w:pPr>
      <w:r>
        <w:t xml:space="preserve">Preparing for the visit:  </w:t>
      </w:r>
    </w:p>
    <w:tbl>
      <w:tblPr>
        <w:tblStyle w:val="TableGrid"/>
        <w:tblW w:w="0" w:type="auto"/>
        <w:tblLook w:val="04A0" w:firstRow="1" w:lastRow="0" w:firstColumn="1" w:lastColumn="0" w:noHBand="0" w:noVBand="1"/>
      </w:tblPr>
      <w:tblGrid>
        <w:gridCol w:w="3116"/>
        <w:gridCol w:w="3117"/>
        <w:gridCol w:w="3117"/>
      </w:tblGrid>
      <w:tr w:rsidR="0092208C" w:rsidTr="0092208C">
        <w:tc>
          <w:tcPr>
            <w:tcW w:w="3116" w:type="dxa"/>
          </w:tcPr>
          <w:p w:rsidR="0092208C" w:rsidRDefault="0092208C" w:rsidP="0092208C">
            <w:r>
              <w:t>Pain Diagram</w:t>
            </w:r>
          </w:p>
        </w:tc>
        <w:tc>
          <w:tcPr>
            <w:tcW w:w="3117" w:type="dxa"/>
          </w:tcPr>
          <w:p w:rsidR="0092208C" w:rsidRDefault="0092208C" w:rsidP="0092208C">
            <w:r>
              <w:t>Review of Systems</w:t>
            </w:r>
          </w:p>
        </w:tc>
        <w:tc>
          <w:tcPr>
            <w:tcW w:w="3117" w:type="dxa"/>
          </w:tcPr>
          <w:p w:rsidR="0092208C" w:rsidRDefault="0092208C" w:rsidP="0092208C">
            <w:r>
              <w:t>Urine drug screen</w:t>
            </w:r>
          </w:p>
        </w:tc>
      </w:tr>
      <w:tr w:rsidR="0092208C" w:rsidTr="0092208C">
        <w:tc>
          <w:tcPr>
            <w:tcW w:w="3116" w:type="dxa"/>
          </w:tcPr>
          <w:p w:rsidR="0092208C" w:rsidRDefault="0092208C" w:rsidP="0092208C">
            <w:r>
              <w:t>MAPS</w:t>
            </w:r>
          </w:p>
        </w:tc>
        <w:tc>
          <w:tcPr>
            <w:tcW w:w="3117" w:type="dxa"/>
          </w:tcPr>
          <w:p w:rsidR="0092208C" w:rsidRDefault="0092208C" w:rsidP="0092208C">
            <w:r>
              <w:t>Informed Consent</w:t>
            </w:r>
          </w:p>
        </w:tc>
        <w:tc>
          <w:tcPr>
            <w:tcW w:w="3117" w:type="dxa"/>
          </w:tcPr>
          <w:p w:rsidR="0092208C" w:rsidRDefault="0092208C" w:rsidP="0092208C">
            <w:r>
              <w:t>Pain contract</w:t>
            </w:r>
          </w:p>
        </w:tc>
      </w:tr>
      <w:tr w:rsidR="0092208C" w:rsidTr="0092208C">
        <w:tc>
          <w:tcPr>
            <w:tcW w:w="3116" w:type="dxa"/>
          </w:tcPr>
          <w:p w:rsidR="0092208C" w:rsidRDefault="0092208C" w:rsidP="0092208C">
            <w:r>
              <w:t>List of all providers</w:t>
            </w:r>
          </w:p>
        </w:tc>
        <w:tc>
          <w:tcPr>
            <w:tcW w:w="3117" w:type="dxa"/>
          </w:tcPr>
          <w:p w:rsidR="0092208C" w:rsidRDefault="0092208C" w:rsidP="0092208C">
            <w:r>
              <w:t>Previous treatment for chronic pain/substance use</w:t>
            </w:r>
          </w:p>
        </w:tc>
        <w:tc>
          <w:tcPr>
            <w:tcW w:w="3117" w:type="dxa"/>
          </w:tcPr>
          <w:p w:rsidR="0092208C" w:rsidRDefault="0092208C" w:rsidP="0092208C">
            <w:r>
              <w:t>Current treatment for chronic pain/substance use</w:t>
            </w:r>
          </w:p>
        </w:tc>
      </w:tr>
    </w:tbl>
    <w:p w:rsidR="0092208C" w:rsidRDefault="0092208C" w:rsidP="0092208C">
      <w:pPr>
        <w:spacing w:after="0"/>
      </w:pPr>
    </w:p>
    <w:p w:rsidR="00CD088F" w:rsidRDefault="00CD088F" w:rsidP="0092208C">
      <w:pPr>
        <w:spacing w:after="0"/>
      </w:pPr>
    </w:p>
    <w:p w:rsidR="00CD088F" w:rsidRDefault="00CD088F" w:rsidP="0092208C">
      <w:pPr>
        <w:spacing w:after="0"/>
      </w:pPr>
    </w:p>
    <w:p w:rsidR="00CD088F" w:rsidRDefault="00CD088F" w:rsidP="0092208C">
      <w:pPr>
        <w:spacing w:after="0"/>
      </w:pPr>
    </w:p>
    <w:p w:rsidR="0092208C" w:rsidRDefault="0092208C" w:rsidP="0092208C">
      <w:pPr>
        <w:spacing w:after="0"/>
        <w:rPr>
          <w:b/>
        </w:rPr>
      </w:pPr>
      <w:r>
        <w:rPr>
          <w:b/>
        </w:rPr>
        <w:lastRenderedPageBreak/>
        <w:t>Assessment</w:t>
      </w:r>
    </w:p>
    <w:p w:rsidR="0092208C" w:rsidRPr="0092208C" w:rsidRDefault="0092208C" w:rsidP="0092208C">
      <w:pPr>
        <w:spacing w:after="0"/>
        <w:rPr>
          <w:u w:val="single"/>
        </w:rPr>
      </w:pPr>
      <w:r>
        <w:rPr>
          <w:u w:val="single"/>
        </w:rPr>
        <w:t>Pain History</w:t>
      </w:r>
    </w:p>
    <w:p w:rsidR="0092208C" w:rsidRDefault="0092208C" w:rsidP="0092208C">
      <w:pPr>
        <w:spacing w:after="0"/>
      </w:pPr>
      <w:r>
        <w:t>Start with an open-ended question: “</w:t>
      </w:r>
      <w:r w:rsidR="00337FAE">
        <w:t>In your own words, d</w:t>
      </w:r>
      <w:r>
        <w:t>escribe to me when you last felt well and healthy”</w:t>
      </w:r>
    </w:p>
    <w:p w:rsidR="0092208C" w:rsidRDefault="0092208C" w:rsidP="0092208C">
      <w:pPr>
        <w:spacing w:after="0"/>
      </w:pPr>
      <w:r>
        <w:t>Listen for cues and allow the patient to tell the story.  It won’t take as long as you may anticipate.</w:t>
      </w:r>
    </w:p>
    <w:p w:rsidR="0092208C" w:rsidRDefault="0092208C" w:rsidP="0092208C">
      <w:pPr>
        <w:spacing w:after="0"/>
        <w:rPr>
          <w:u w:val="single"/>
        </w:rPr>
      </w:pPr>
      <w:r>
        <w:rPr>
          <w:u w:val="single"/>
        </w:rPr>
        <w:t>Level of Function</w:t>
      </w:r>
    </w:p>
    <w:p w:rsidR="0092208C" w:rsidRDefault="0092208C" w:rsidP="0092208C">
      <w:pPr>
        <w:spacing w:after="0"/>
      </w:pPr>
      <w:r>
        <w:t>“Walk me through a usual day”</w:t>
      </w:r>
    </w:p>
    <w:p w:rsidR="0098299F" w:rsidRDefault="0092208C" w:rsidP="0092208C">
      <w:pPr>
        <w:spacing w:after="0"/>
      </w:pPr>
      <w:r>
        <w:t xml:space="preserve">Cues to listen for: </w:t>
      </w:r>
    </w:p>
    <w:p w:rsidR="0092208C" w:rsidRDefault="0098299F" w:rsidP="0098299F">
      <w:pPr>
        <w:pStyle w:val="ListParagraph"/>
        <w:numPr>
          <w:ilvl w:val="0"/>
          <w:numId w:val="2"/>
        </w:numPr>
        <w:spacing w:after="0"/>
      </w:pPr>
      <w:r>
        <w:t>T</w:t>
      </w:r>
      <w:r w:rsidR="0092208C">
        <w:t>ime spent working (or missed time from work/school)</w:t>
      </w:r>
    </w:p>
    <w:p w:rsidR="0098299F" w:rsidRDefault="0098299F" w:rsidP="0098299F">
      <w:pPr>
        <w:pStyle w:val="ListParagraph"/>
        <w:numPr>
          <w:ilvl w:val="0"/>
          <w:numId w:val="2"/>
        </w:numPr>
        <w:spacing w:after="0"/>
      </w:pPr>
      <w:r>
        <w:t>Resting/napping</w:t>
      </w:r>
    </w:p>
    <w:p w:rsidR="0098299F" w:rsidRDefault="0098299F" w:rsidP="0098299F">
      <w:pPr>
        <w:pStyle w:val="ListParagraph"/>
        <w:numPr>
          <w:ilvl w:val="0"/>
          <w:numId w:val="2"/>
        </w:numPr>
        <w:spacing w:after="0"/>
      </w:pPr>
      <w:r>
        <w:t>Exercising</w:t>
      </w:r>
    </w:p>
    <w:p w:rsidR="0098299F" w:rsidRDefault="0098299F" w:rsidP="0098299F">
      <w:pPr>
        <w:pStyle w:val="ListParagraph"/>
        <w:numPr>
          <w:ilvl w:val="0"/>
          <w:numId w:val="2"/>
        </w:numPr>
        <w:spacing w:after="0"/>
      </w:pPr>
      <w:r>
        <w:t>Amount and quality of sleep</w:t>
      </w:r>
    </w:p>
    <w:p w:rsidR="0098299F" w:rsidRDefault="0098299F" w:rsidP="0098299F">
      <w:pPr>
        <w:spacing w:after="0"/>
        <w:rPr>
          <w:u w:val="single"/>
        </w:rPr>
      </w:pPr>
      <w:r>
        <w:rPr>
          <w:u w:val="single"/>
        </w:rPr>
        <w:t>Prior treatments</w:t>
      </w:r>
    </w:p>
    <w:p w:rsidR="0098299F" w:rsidRDefault="0098299F" w:rsidP="0098299F">
      <w:pPr>
        <w:spacing w:after="0"/>
      </w:pPr>
      <w:r>
        <w:t>What treatments have been tried and what was the response to the treatment – effective/ineffective</w:t>
      </w:r>
    </w:p>
    <w:tbl>
      <w:tblPr>
        <w:tblStyle w:val="TableGrid"/>
        <w:tblW w:w="0" w:type="auto"/>
        <w:tblLook w:val="04A0" w:firstRow="1" w:lastRow="0" w:firstColumn="1" w:lastColumn="0" w:noHBand="0" w:noVBand="1"/>
      </w:tblPr>
      <w:tblGrid>
        <w:gridCol w:w="4765"/>
        <w:gridCol w:w="4585"/>
      </w:tblGrid>
      <w:tr w:rsidR="00337FAE" w:rsidTr="00337FAE">
        <w:tc>
          <w:tcPr>
            <w:tcW w:w="4765" w:type="dxa"/>
          </w:tcPr>
          <w:p w:rsidR="00337FAE" w:rsidRDefault="00337FAE" w:rsidP="0098299F">
            <w:r>
              <w:t>Counseling services with a psychologist or MSW</w:t>
            </w:r>
          </w:p>
        </w:tc>
        <w:tc>
          <w:tcPr>
            <w:tcW w:w="4585" w:type="dxa"/>
          </w:tcPr>
          <w:p w:rsidR="00337FAE" w:rsidRDefault="00337FAE" w:rsidP="0098299F"/>
        </w:tc>
      </w:tr>
      <w:tr w:rsidR="00337FAE" w:rsidTr="00337FAE">
        <w:tc>
          <w:tcPr>
            <w:tcW w:w="4765" w:type="dxa"/>
          </w:tcPr>
          <w:p w:rsidR="00337FAE" w:rsidRDefault="00337FAE" w:rsidP="0098299F">
            <w:r>
              <w:t>Substance abuse treatment</w:t>
            </w:r>
          </w:p>
        </w:tc>
        <w:tc>
          <w:tcPr>
            <w:tcW w:w="4585" w:type="dxa"/>
          </w:tcPr>
          <w:p w:rsidR="00337FAE" w:rsidRDefault="00337FAE" w:rsidP="0098299F"/>
        </w:tc>
      </w:tr>
      <w:tr w:rsidR="00337FAE" w:rsidTr="00337FAE">
        <w:tc>
          <w:tcPr>
            <w:tcW w:w="4765" w:type="dxa"/>
          </w:tcPr>
          <w:p w:rsidR="00337FAE" w:rsidRDefault="00337FAE" w:rsidP="0098299F">
            <w:r>
              <w:t>Emotional/mental hospitalization(s)</w:t>
            </w:r>
          </w:p>
        </w:tc>
        <w:tc>
          <w:tcPr>
            <w:tcW w:w="4585" w:type="dxa"/>
          </w:tcPr>
          <w:p w:rsidR="00337FAE" w:rsidRDefault="00337FAE" w:rsidP="0098299F"/>
        </w:tc>
      </w:tr>
      <w:tr w:rsidR="00337FAE" w:rsidTr="00337FAE">
        <w:tc>
          <w:tcPr>
            <w:tcW w:w="4765" w:type="dxa"/>
          </w:tcPr>
          <w:p w:rsidR="00337FAE" w:rsidRDefault="00337FAE" w:rsidP="0098299F">
            <w:r>
              <w:t>Prescription for medical marijuana/marijuana card</w:t>
            </w:r>
          </w:p>
        </w:tc>
        <w:tc>
          <w:tcPr>
            <w:tcW w:w="4585" w:type="dxa"/>
          </w:tcPr>
          <w:p w:rsidR="00337FAE" w:rsidRDefault="00337FAE" w:rsidP="0098299F"/>
        </w:tc>
      </w:tr>
    </w:tbl>
    <w:p w:rsidR="00337FAE" w:rsidRDefault="00337FAE" w:rsidP="0098299F">
      <w:pPr>
        <w:spacing w:after="0"/>
      </w:pPr>
    </w:p>
    <w:p w:rsidR="0098299F" w:rsidRDefault="0098299F" w:rsidP="0098299F">
      <w:pPr>
        <w:spacing w:after="0"/>
        <w:rPr>
          <w:u w:val="single"/>
        </w:rPr>
      </w:pPr>
      <w:r>
        <w:rPr>
          <w:u w:val="single"/>
        </w:rPr>
        <w:t>Review of systems</w:t>
      </w:r>
    </w:p>
    <w:p w:rsidR="0098299F" w:rsidRDefault="0098299F" w:rsidP="0098299F">
      <w:pPr>
        <w:spacing w:after="0"/>
      </w:pPr>
      <w:r>
        <w:t>Focus on pertinent positives and negatives.  At minimum include the following:</w:t>
      </w:r>
    </w:p>
    <w:tbl>
      <w:tblPr>
        <w:tblStyle w:val="TableGrid"/>
        <w:tblW w:w="0" w:type="auto"/>
        <w:tblLook w:val="04A0" w:firstRow="1" w:lastRow="0" w:firstColumn="1" w:lastColumn="0" w:noHBand="0" w:noVBand="1"/>
      </w:tblPr>
      <w:tblGrid>
        <w:gridCol w:w="3235"/>
        <w:gridCol w:w="630"/>
        <w:gridCol w:w="630"/>
        <w:gridCol w:w="360"/>
        <w:gridCol w:w="3240"/>
        <w:gridCol w:w="630"/>
        <w:gridCol w:w="625"/>
      </w:tblGrid>
      <w:tr w:rsidR="001F5054" w:rsidTr="001F5054">
        <w:trPr>
          <w:trHeight w:val="413"/>
        </w:trPr>
        <w:tc>
          <w:tcPr>
            <w:tcW w:w="3235" w:type="dxa"/>
          </w:tcPr>
          <w:p w:rsidR="0098299F" w:rsidRDefault="0098299F" w:rsidP="0098299F">
            <w:r>
              <w:t>Do you experience the following</w:t>
            </w:r>
          </w:p>
        </w:tc>
        <w:tc>
          <w:tcPr>
            <w:tcW w:w="630" w:type="dxa"/>
          </w:tcPr>
          <w:p w:rsidR="0098299F" w:rsidRDefault="0098299F" w:rsidP="0098299F">
            <w:pPr>
              <w:jc w:val="center"/>
            </w:pPr>
            <w:r>
              <w:t>Yes</w:t>
            </w:r>
          </w:p>
        </w:tc>
        <w:tc>
          <w:tcPr>
            <w:tcW w:w="630" w:type="dxa"/>
          </w:tcPr>
          <w:p w:rsidR="0098299F" w:rsidRDefault="0098299F" w:rsidP="001F5054">
            <w:pPr>
              <w:jc w:val="center"/>
            </w:pPr>
            <w:r>
              <w:t>No</w:t>
            </w:r>
          </w:p>
        </w:tc>
        <w:tc>
          <w:tcPr>
            <w:tcW w:w="360" w:type="dxa"/>
            <w:shd w:val="clear" w:color="auto" w:fill="7F7F7F" w:themeFill="text1" w:themeFillTint="80"/>
          </w:tcPr>
          <w:p w:rsidR="0098299F" w:rsidRDefault="0098299F" w:rsidP="0098299F"/>
        </w:tc>
        <w:tc>
          <w:tcPr>
            <w:tcW w:w="3240" w:type="dxa"/>
          </w:tcPr>
          <w:p w:rsidR="0098299F" w:rsidRDefault="0098299F" w:rsidP="0098299F">
            <w:r>
              <w:t>Do you experience the following</w:t>
            </w:r>
          </w:p>
        </w:tc>
        <w:tc>
          <w:tcPr>
            <w:tcW w:w="630" w:type="dxa"/>
          </w:tcPr>
          <w:p w:rsidR="0098299F" w:rsidRDefault="0098299F" w:rsidP="0098299F">
            <w:pPr>
              <w:jc w:val="center"/>
            </w:pPr>
            <w:r>
              <w:t>Yes</w:t>
            </w:r>
          </w:p>
        </w:tc>
        <w:tc>
          <w:tcPr>
            <w:tcW w:w="625" w:type="dxa"/>
          </w:tcPr>
          <w:p w:rsidR="0098299F" w:rsidRDefault="0098299F" w:rsidP="001F5054">
            <w:pPr>
              <w:jc w:val="center"/>
            </w:pPr>
            <w:r>
              <w:t>No</w:t>
            </w:r>
          </w:p>
        </w:tc>
      </w:tr>
      <w:tr w:rsidR="001F5054" w:rsidTr="001F5054">
        <w:tc>
          <w:tcPr>
            <w:tcW w:w="3235" w:type="dxa"/>
          </w:tcPr>
          <w:p w:rsidR="0098299F" w:rsidRDefault="0098299F" w:rsidP="0098299F">
            <w:r>
              <w:t>Unusual fatigue or tiredness</w:t>
            </w:r>
          </w:p>
        </w:tc>
        <w:tc>
          <w:tcPr>
            <w:tcW w:w="630" w:type="dxa"/>
          </w:tcPr>
          <w:p w:rsidR="0098299F" w:rsidRDefault="0098299F" w:rsidP="0098299F"/>
        </w:tc>
        <w:tc>
          <w:tcPr>
            <w:tcW w:w="630" w:type="dxa"/>
          </w:tcPr>
          <w:p w:rsidR="0098299F" w:rsidRDefault="0098299F" w:rsidP="0098299F"/>
        </w:tc>
        <w:tc>
          <w:tcPr>
            <w:tcW w:w="360" w:type="dxa"/>
            <w:shd w:val="clear" w:color="auto" w:fill="7F7F7F" w:themeFill="text1" w:themeFillTint="80"/>
          </w:tcPr>
          <w:p w:rsidR="0098299F" w:rsidRDefault="0098299F" w:rsidP="0098299F"/>
        </w:tc>
        <w:tc>
          <w:tcPr>
            <w:tcW w:w="3240" w:type="dxa"/>
          </w:tcPr>
          <w:p w:rsidR="0098299F" w:rsidRDefault="0098299F" w:rsidP="0098299F">
            <w:r>
              <w:t>Attacks of anxiety</w:t>
            </w:r>
          </w:p>
        </w:tc>
        <w:tc>
          <w:tcPr>
            <w:tcW w:w="630" w:type="dxa"/>
          </w:tcPr>
          <w:p w:rsidR="0098299F" w:rsidRDefault="0098299F" w:rsidP="0098299F"/>
        </w:tc>
        <w:tc>
          <w:tcPr>
            <w:tcW w:w="625" w:type="dxa"/>
          </w:tcPr>
          <w:p w:rsidR="0098299F" w:rsidRDefault="0098299F" w:rsidP="0098299F"/>
        </w:tc>
      </w:tr>
      <w:tr w:rsidR="001F5054" w:rsidTr="001F5054">
        <w:tc>
          <w:tcPr>
            <w:tcW w:w="3235" w:type="dxa"/>
          </w:tcPr>
          <w:p w:rsidR="0098299F" w:rsidRDefault="0098299F" w:rsidP="0098299F">
            <w:r>
              <w:t>Trouble making decisions</w:t>
            </w:r>
          </w:p>
        </w:tc>
        <w:tc>
          <w:tcPr>
            <w:tcW w:w="630" w:type="dxa"/>
          </w:tcPr>
          <w:p w:rsidR="0098299F" w:rsidRDefault="0098299F" w:rsidP="0098299F"/>
        </w:tc>
        <w:tc>
          <w:tcPr>
            <w:tcW w:w="630" w:type="dxa"/>
          </w:tcPr>
          <w:p w:rsidR="0098299F" w:rsidRDefault="0098299F" w:rsidP="0098299F"/>
        </w:tc>
        <w:tc>
          <w:tcPr>
            <w:tcW w:w="360" w:type="dxa"/>
            <w:shd w:val="clear" w:color="auto" w:fill="7F7F7F" w:themeFill="text1" w:themeFillTint="80"/>
          </w:tcPr>
          <w:p w:rsidR="0098299F" w:rsidRDefault="0098299F" w:rsidP="0098299F"/>
        </w:tc>
        <w:tc>
          <w:tcPr>
            <w:tcW w:w="3240" w:type="dxa"/>
          </w:tcPr>
          <w:p w:rsidR="0098299F" w:rsidRDefault="0098299F" w:rsidP="0098299F">
            <w:r>
              <w:t>Feeling hopeless</w:t>
            </w:r>
          </w:p>
        </w:tc>
        <w:tc>
          <w:tcPr>
            <w:tcW w:w="630" w:type="dxa"/>
          </w:tcPr>
          <w:p w:rsidR="0098299F" w:rsidRDefault="0098299F" w:rsidP="0098299F"/>
        </w:tc>
        <w:tc>
          <w:tcPr>
            <w:tcW w:w="625" w:type="dxa"/>
          </w:tcPr>
          <w:p w:rsidR="0098299F" w:rsidRDefault="0098299F" w:rsidP="0098299F"/>
        </w:tc>
      </w:tr>
      <w:tr w:rsidR="001F5054" w:rsidTr="001F5054">
        <w:tc>
          <w:tcPr>
            <w:tcW w:w="3235" w:type="dxa"/>
          </w:tcPr>
          <w:p w:rsidR="0098299F" w:rsidRDefault="0098299F" w:rsidP="0098299F">
            <w:r>
              <w:t>Loss of memory or concentration</w:t>
            </w:r>
          </w:p>
        </w:tc>
        <w:tc>
          <w:tcPr>
            <w:tcW w:w="630" w:type="dxa"/>
          </w:tcPr>
          <w:p w:rsidR="0098299F" w:rsidRDefault="0098299F" w:rsidP="0098299F"/>
        </w:tc>
        <w:tc>
          <w:tcPr>
            <w:tcW w:w="630" w:type="dxa"/>
          </w:tcPr>
          <w:p w:rsidR="0098299F" w:rsidRDefault="0098299F" w:rsidP="0098299F"/>
        </w:tc>
        <w:tc>
          <w:tcPr>
            <w:tcW w:w="360" w:type="dxa"/>
            <w:shd w:val="clear" w:color="auto" w:fill="7F7F7F" w:themeFill="text1" w:themeFillTint="80"/>
          </w:tcPr>
          <w:p w:rsidR="0098299F" w:rsidRDefault="0098299F" w:rsidP="0098299F"/>
        </w:tc>
        <w:tc>
          <w:tcPr>
            <w:tcW w:w="3240" w:type="dxa"/>
          </w:tcPr>
          <w:p w:rsidR="0098299F" w:rsidRDefault="0098299F" w:rsidP="0098299F">
            <w:r>
              <w:t>Depression</w:t>
            </w:r>
          </w:p>
        </w:tc>
        <w:tc>
          <w:tcPr>
            <w:tcW w:w="630" w:type="dxa"/>
          </w:tcPr>
          <w:p w:rsidR="0098299F" w:rsidRDefault="0098299F" w:rsidP="0098299F"/>
        </w:tc>
        <w:tc>
          <w:tcPr>
            <w:tcW w:w="625" w:type="dxa"/>
          </w:tcPr>
          <w:p w:rsidR="0098299F" w:rsidRDefault="0098299F" w:rsidP="0098299F"/>
        </w:tc>
      </w:tr>
      <w:tr w:rsidR="001F5054" w:rsidTr="001F5054">
        <w:tc>
          <w:tcPr>
            <w:tcW w:w="3235" w:type="dxa"/>
          </w:tcPr>
          <w:p w:rsidR="0098299F" w:rsidRDefault="0098299F" w:rsidP="0098299F">
            <w:r>
              <w:t>Excessive worry</w:t>
            </w:r>
          </w:p>
        </w:tc>
        <w:tc>
          <w:tcPr>
            <w:tcW w:w="630" w:type="dxa"/>
          </w:tcPr>
          <w:p w:rsidR="0098299F" w:rsidRDefault="0098299F" w:rsidP="0098299F"/>
        </w:tc>
        <w:tc>
          <w:tcPr>
            <w:tcW w:w="630" w:type="dxa"/>
          </w:tcPr>
          <w:p w:rsidR="0098299F" w:rsidRDefault="0098299F" w:rsidP="0098299F"/>
        </w:tc>
        <w:tc>
          <w:tcPr>
            <w:tcW w:w="360" w:type="dxa"/>
            <w:shd w:val="clear" w:color="auto" w:fill="7F7F7F" w:themeFill="text1" w:themeFillTint="80"/>
          </w:tcPr>
          <w:p w:rsidR="0098299F" w:rsidRDefault="0098299F" w:rsidP="0098299F"/>
        </w:tc>
        <w:tc>
          <w:tcPr>
            <w:tcW w:w="3240" w:type="dxa"/>
          </w:tcPr>
          <w:p w:rsidR="0098299F" w:rsidRDefault="0098299F" w:rsidP="0098299F">
            <w:r>
              <w:t>Loss of temper</w:t>
            </w:r>
          </w:p>
        </w:tc>
        <w:tc>
          <w:tcPr>
            <w:tcW w:w="630" w:type="dxa"/>
          </w:tcPr>
          <w:p w:rsidR="0098299F" w:rsidRDefault="0098299F" w:rsidP="0098299F"/>
        </w:tc>
        <w:tc>
          <w:tcPr>
            <w:tcW w:w="625" w:type="dxa"/>
          </w:tcPr>
          <w:p w:rsidR="0098299F" w:rsidRDefault="0098299F" w:rsidP="0098299F"/>
        </w:tc>
      </w:tr>
      <w:tr w:rsidR="001F5054" w:rsidTr="001F5054">
        <w:tc>
          <w:tcPr>
            <w:tcW w:w="3235" w:type="dxa"/>
          </w:tcPr>
          <w:p w:rsidR="0098299F" w:rsidRDefault="0098299F" w:rsidP="0098299F">
            <w:r>
              <w:t>Work or family problems</w:t>
            </w:r>
          </w:p>
        </w:tc>
        <w:tc>
          <w:tcPr>
            <w:tcW w:w="630" w:type="dxa"/>
          </w:tcPr>
          <w:p w:rsidR="0098299F" w:rsidRDefault="0098299F" w:rsidP="0098299F"/>
        </w:tc>
        <w:tc>
          <w:tcPr>
            <w:tcW w:w="630" w:type="dxa"/>
          </w:tcPr>
          <w:p w:rsidR="0098299F" w:rsidRDefault="0098299F" w:rsidP="0098299F"/>
        </w:tc>
        <w:tc>
          <w:tcPr>
            <w:tcW w:w="360" w:type="dxa"/>
            <w:shd w:val="clear" w:color="auto" w:fill="7F7F7F" w:themeFill="text1" w:themeFillTint="80"/>
          </w:tcPr>
          <w:p w:rsidR="0098299F" w:rsidRDefault="0098299F" w:rsidP="0098299F"/>
        </w:tc>
        <w:tc>
          <w:tcPr>
            <w:tcW w:w="3240" w:type="dxa"/>
          </w:tcPr>
          <w:p w:rsidR="0098299F" w:rsidRDefault="0098299F" w:rsidP="0098299F">
            <w:r>
              <w:t>Frequent Crying</w:t>
            </w:r>
          </w:p>
        </w:tc>
        <w:tc>
          <w:tcPr>
            <w:tcW w:w="630" w:type="dxa"/>
          </w:tcPr>
          <w:p w:rsidR="0098299F" w:rsidRDefault="0098299F" w:rsidP="0098299F"/>
        </w:tc>
        <w:tc>
          <w:tcPr>
            <w:tcW w:w="625" w:type="dxa"/>
          </w:tcPr>
          <w:p w:rsidR="0098299F" w:rsidRDefault="0098299F" w:rsidP="0098299F"/>
        </w:tc>
      </w:tr>
      <w:tr w:rsidR="001F5054" w:rsidTr="001F5054">
        <w:tc>
          <w:tcPr>
            <w:tcW w:w="3235" w:type="dxa"/>
          </w:tcPr>
          <w:p w:rsidR="001F5054" w:rsidRDefault="001F5054" w:rsidP="0098299F">
            <w:r>
              <w:t>Sexual difficulties</w:t>
            </w:r>
          </w:p>
        </w:tc>
        <w:tc>
          <w:tcPr>
            <w:tcW w:w="630" w:type="dxa"/>
          </w:tcPr>
          <w:p w:rsidR="001F5054" w:rsidRDefault="001F5054" w:rsidP="0098299F"/>
        </w:tc>
        <w:tc>
          <w:tcPr>
            <w:tcW w:w="630" w:type="dxa"/>
          </w:tcPr>
          <w:p w:rsidR="001F5054" w:rsidRDefault="001F5054" w:rsidP="0098299F"/>
        </w:tc>
        <w:tc>
          <w:tcPr>
            <w:tcW w:w="360" w:type="dxa"/>
            <w:shd w:val="clear" w:color="auto" w:fill="7F7F7F" w:themeFill="text1" w:themeFillTint="80"/>
          </w:tcPr>
          <w:p w:rsidR="001F5054" w:rsidRDefault="001F5054" w:rsidP="0098299F"/>
        </w:tc>
        <w:tc>
          <w:tcPr>
            <w:tcW w:w="3240" w:type="dxa"/>
          </w:tcPr>
          <w:p w:rsidR="001F5054" w:rsidRDefault="001F5054" w:rsidP="0098299F">
            <w:r>
              <w:t xml:space="preserve">Thoughts of self harm (suicide) </w:t>
            </w:r>
          </w:p>
        </w:tc>
        <w:tc>
          <w:tcPr>
            <w:tcW w:w="630" w:type="dxa"/>
          </w:tcPr>
          <w:p w:rsidR="001F5054" w:rsidRDefault="001F5054" w:rsidP="0098299F"/>
        </w:tc>
        <w:tc>
          <w:tcPr>
            <w:tcW w:w="625" w:type="dxa"/>
          </w:tcPr>
          <w:p w:rsidR="001F5054" w:rsidRDefault="001F5054" w:rsidP="0098299F"/>
        </w:tc>
      </w:tr>
    </w:tbl>
    <w:p w:rsidR="0098299F" w:rsidRDefault="0098299F" w:rsidP="0098299F">
      <w:pPr>
        <w:spacing w:after="0"/>
      </w:pPr>
    </w:p>
    <w:p w:rsidR="00337FAE" w:rsidRDefault="00337FAE" w:rsidP="0098299F">
      <w:pPr>
        <w:spacing w:after="0"/>
        <w:rPr>
          <w:u w:val="single"/>
        </w:rPr>
      </w:pPr>
      <w:r w:rsidRPr="00337FAE">
        <w:rPr>
          <w:u w:val="single"/>
        </w:rPr>
        <w:t>Other</w:t>
      </w:r>
      <w:r>
        <w:rPr>
          <w:u w:val="single"/>
        </w:rPr>
        <w:t xml:space="preserve"> (Explain for safety r</w:t>
      </w:r>
      <w:r w:rsidR="008658D8">
        <w:rPr>
          <w:u w:val="single"/>
        </w:rPr>
        <w:t>easons it is important to openly discuss</w:t>
      </w:r>
      <w:r>
        <w:rPr>
          <w:u w:val="single"/>
        </w:rPr>
        <w:t xml:space="preserve"> these items</w:t>
      </w:r>
      <w:r w:rsidR="008658D8">
        <w:rPr>
          <w:u w:val="single"/>
        </w:rPr>
        <w:t>)</w:t>
      </w:r>
      <w:r>
        <w:rPr>
          <w:u w:val="single"/>
        </w:rPr>
        <w:t>.</w:t>
      </w:r>
    </w:p>
    <w:p w:rsidR="00337FAE" w:rsidRDefault="00337FAE" w:rsidP="0098299F">
      <w:pPr>
        <w:spacing w:after="0"/>
      </w:pPr>
      <w:r>
        <w:t>Do you have a history of alcohol or drug abuse?</w:t>
      </w:r>
      <w:r w:rsidR="008658D8">
        <w:t xml:space="preserve">  If yes, are you still using these, and how often? ____________</w:t>
      </w:r>
    </w:p>
    <w:p w:rsidR="00337FAE" w:rsidRDefault="00337FAE" w:rsidP="0098299F">
      <w:pPr>
        <w:spacing w:after="0"/>
      </w:pPr>
      <w:r>
        <w:t>Are you currently using marijuana?   If yes, how much____________________</w:t>
      </w:r>
    </w:p>
    <w:p w:rsidR="00337FAE" w:rsidRPr="00337FAE" w:rsidRDefault="00337FAE" w:rsidP="0098299F">
      <w:pPr>
        <w:spacing w:after="0"/>
      </w:pPr>
      <w:r>
        <w:t>Have you ever been a victim of abuse (physical, verbal/emotional, sexual)?</w:t>
      </w:r>
      <w:r w:rsidR="008658D8">
        <w:t xml:space="preserve">  If yes, when and what happened?  Are you still in an abusive relationship?</w:t>
      </w:r>
    </w:p>
    <w:p w:rsidR="004A1D2E" w:rsidRDefault="004A1D2E" w:rsidP="00C15731">
      <w:pPr>
        <w:spacing w:after="0"/>
      </w:pPr>
    </w:p>
    <w:p w:rsidR="00C15731" w:rsidRDefault="008015EC" w:rsidP="008015EC">
      <w:pPr>
        <w:spacing w:after="0"/>
        <w:rPr>
          <w:b/>
        </w:rPr>
      </w:pPr>
      <w:r w:rsidRPr="008015EC">
        <w:rPr>
          <w:b/>
        </w:rPr>
        <w:t>Agreement to tapering</w:t>
      </w:r>
    </w:p>
    <w:p w:rsidR="008015EC" w:rsidRPr="009C3206" w:rsidRDefault="008015EC" w:rsidP="00E748C8">
      <w:pPr>
        <w:pStyle w:val="ListParagraph"/>
        <w:numPr>
          <w:ilvl w:val="0"/>
          <w:numId w:val="4"/>
        </w:numPr>
        <w:spacing w:after="0"/>
      </w:pPr>
      <w:r w:rsidRPr="009C3206">
        <w:t>Provide</w:t>
      </w:r>
      <w:r w:rsidR="009C3206">
        <w:t xml:space="preserve"> the patient with a copy of the </w:t>
      </w:r>
      <w:r w:rsidR="009C3206" w:rsidRPr="00E748C8">
        <w:rPr>
          <w:b/>
        </w:rPr>
        <w:t>Clinical Opiate Withdrawal Scale</w:t>
      </w:r>
      <w:r w:rsidR="00E748C8">
        <w:rPr>
          <w:b/>
        </w:rPr>
        <w:t xml:space="preserve">.  </w:t>
      </w:r>
      <w:r w:rsidR="00E748C8">
        <w:t xml:space="preserve">Include instructions </w:t>
      </w:r>
      <w:r w:rsidR="00F161EA">
        <w:t>on how</w:t>
      </w:r>
      <w:r w:rsidR="009C3206">
        <w:t xml:space="preserve"> to use it</w:t>
      </w:r>
      <w:r w:rsidR="00405117">
        <w:t>.  This should be do</w:t>
      </w:r>
      <w:r w:rsidR="00E748C8">
        <w:t>n</w:t>
      </w:r>
      <w:r w:rsidR="00405117">
        <w:t>e</w:t>
      </w:r>
      <w:r w:rsidR="00E748C8">
        <w:t xml:space="preserve"> before or at the time of initiating the tapering.</w:t>
      </w:r>
    </w:p>
    <w:p w:rsidR="009C3206" w:rsidRDefault="009C3206" w:rsidP="009C3206">
      <w:pPr>
        <w:pStyle w:val="ListParagraph"/>
        <w:numPr>
          <w:ilvl w:val="0"/>
          <w:numId w:val="3"/>
        </w:numPr>
        <w:spacing w:after="0"/>
      </w:pPr>
      <w:r>
        <w:t>Instruct the patient</w:t>
      </w:r>
      <w:r w:rsidR="00E748C8">
        <w:t xml:space="preserve"> on anticipated withdrawal symptoms and</w:t>
      </w:r>
      <w:r>
        <w:t xml:space="preserve"> what to do if they experience worse than expected or </w:t>
      </w:r>
      <w:r w:rsidR="00E748C8">
        <w:t>intolerable</w:t>
      </w:r>
      <w:r>
        <w:t xml:space="preserve"> withdrawal symptoms</w:t>
      </w:r>
    </w:p>
    <w:p w:rsidR="00E748C8" w:rsidRDefault="00F161EA" w:rsidP="009C3206">
      <w:pPr>
        <w:pStyle w:val="ListParagraph"/>
        <w:numPr>
          <w:ilvl w:val="0"/>
          <w:numId w:val="3"/>
        </w:numPr>
        <w:spacing w:after="0"/>
      </w:pPr>
      <w:r>
        <w:t xml:space="preserve">If possible, have the care manager follow-up and monitor the patients experience between visits.  Create a list of items to include in the monitoring and be prepared to </w:t>
      </w:r>
      <w:proofErr w:type="gramStart"/>
      <w:r>
        <w:t>make adjustments</w:t>
      </w:r>
      <w:proofErr w:type="gramEnd"/>
      <w:r>
        <w:t xml:space="preserve"> based on the findings.  </w:t>
      </w:r>
    </w:p>
    <w:p w:rsidR="00F161EA" w:rsidRDefault="00F161EA" w:rsidP="009C3206">
      <w:pPr>
        <w:pStyle w:val="ListParagraph"/>
        <w:numPr>
          <w:ilvl w:val="0"/>
          <w:numId w:val="3"/>
        </w:numPr>
        <w:spacing w:after="0"/>
      </w:pPr>
      <w:r>
        <w:t xml:space="preserve">For patients with mental health issues or diagnosis </w:t>
      </w:r>
    </w:p>
    <w:p w:rsidR="00F161EA" w:rsidRDefault="00F161EA" w:rsidP="00F161EA">
      <w:pPr>
        <w:pStyle w:val="ListParagraph"/>
        <w:numPr>
          <w:ilvl w:val="1"/>
          <w:numId w:val="3"/>
        </w:numPr>
        <w:spacing w:after="0"/>
      </w:pPr>
      <w:r>
        <w:t xml:space="preserve">Opiates may be acting as a mood stabilizer.  With tapering, the patient may become more unstable.  </w:t>
      </w:r>
    </w:p>
    <w:p w:rsidR="00F161EA" w:rsidRDefault="00F161EA" w:rsidP="00F161EA">
      <w:pPr>
        <w:pStyle w:val="ListParagraph"/>
        <w:numPr>
          <w:ilvl w:val="1"/>
          <w:numId w:val="3"/>
        </w:numPr>
        <w:spacing w:after="0"/>
      </w:pPr>
      <w:r>
        <w:t>If treating with a psychiatrist coordinate the tapering.  Inform them of the plan and collectively develop a plan.</w:t>
      </w:r>
    </w:p>
    <w:p w:rsidR="00F14E87" w:rsidRDefault="00F14E87" w:rsidP="00F14E87">
      <w:pPr>
        <w:pStyle w:val="ListParagraph"/>
        <w:spacing w:after="0"/>
        <w:ind w:left="1440"/>
      </w:pPr>
    </w:p>
    <w:p w:rsidR="00F161EA" w:rsidRDefault="00F161EA" w:rsidP="00F161EA">
      <w:pPr>
        <w:spacing w:after="0"/>
        <w:rPr>
          <w:b/>
        </w:rPr>
      </w:pPr>
      <w:r>
        <w:rPr>
          <w:b/>
        </w:rPr>
        <w:t>Threatening behavior</w:t>
      </w:r>
    </w:p>
    <w:p w:rsidR="00F161EA" w:rsidRDefault="00F161EA" w:rsidP="00F161EA">
      <w:pPr>
        <w:spacing w:after="0"/>
      </w:pPr>
      <w:r>
        <w:t xml:space="preserve">Be prepared for suicidal threats, threats or thoughts of harm to others, and threats or thoughts of harm to the provider and or clinic.  Take these statements serious and have an action plan in place.  </w:t>
      </w:r>
    </w:p>
    <w:p w:rsidR="00F161EA" w:rsidRDefault="00F161EA" w:rsidP="00F161EA">
      <w:pPr>
        <w:spacing w:after="0"/>
      </w:pPr>
    </w:p>
    <w:p w:rsidR="00F14E87" w:rsidRDefault="00F14E87" w:rsidP="00F161EA">
      <w:pPr>
        <w:spacing w:after="0"/>
        <w:rPr>
          <w:b/>
        </w:rPr>
      </w:pPr>
    </w:p>
    <w:p w:rsidR="00F14E87" w:rsidRDefault="00F14E87" w:rsidP="00F161EA">
      <w:pPr>
        <w:spacing w:after="0"/>
        <w:rPr>
          <w:b/>
        </w:rPr>
      </w:pPr>
    </w:p>
    <w:p w:rsidR="00F161EA" w:rsidRDefault="00F161EA" w:rsidP="00F161EA">
      <w:pPr>
        <w:spacing w:after="0"/>
        <w:rPr>
          <w:b/>
        </w:rPr>
      </w:pPr>
      <w:r>
        <w:rPr>
          <w:b/>
        </w:rPr>
        <w:t>Anxiety</w:t>
      </w:r>
    </w:p>
    <w:p w:rsidR="00F161EA" w:rsidRDefault="00F161EA" w:rsidP="00F161EA">
      <w:pPr>
        <w:spacing w:after="0"/>
      </w:pPr>
      <w:r>
        <w:t xml:space="preserve">Anxiety is almost universal in patients being tapered </w:t>
      </w:r>
      <w:r w:rsidR="00B71682">
        <w:t>from</w:t>
      </w:r>
      <w:r>
        <w:t xml:space="preserve"> significant amounts of opiates and even with patients who seem to be taking placebo doses.  Reassure and manage anxiety with frequent visits, care management monitoring and follow-up between visits and when needed, the use</w:t>
      </w:r>
      <w:r w:rsidR="00B71682">
        <w:t xml:space="preserve"> of anti-anxiety medications.  Use caution if considering the use of benzodiazepines.  There is significant risk of respiratory depression, and it is generally not recommended for patients on chronic opiates.</w:t>
      </w:r>
    </w:p>
    <w:p w:rsidR="00B71682" w:rsidRDefault="00B71682" w:rsidP="00F161EA">
      <w:pPr>
        <w:spacing w:after="0"/>
      </w:pPr>
      <w:r>
        <w:t>Anxiety regarding tapering is normal.  Normalize the response and reassure the patient the team will not abandon them.  This is demonstrated with follow-up and monitoring with the care manager, frequent provider visits, and having the team available during unscheduled times.  Reassure the team that most patients find it easier than they thought it would be – have that be a reassuring message from the providers and ancillary staff.</w:t>
      </w:r>
    </w:p>
    <w:p w:rsidR="00B71682" w:rsidRDefault="00B71682" w:rsidP="00F161EA">
      <w:pPr>
        <w:spacing w:after="0"/>
      </w:pPr>
    </w:p>
    <w:p w:rsidR="00B71682" w:rsidRDefault="00B71682" w:rsidP="00F161EA">
      <w:pPr>
        <w:spacing w:after="0"/>
        <w:rPr>
          <w:b/>
        </w:rPr>
      </w:pPr>
      <w:r>
        <w:rPr>
          <w:b/>
        </w:rPr>
        <w:t>Overuse of opiates during tapering</w:t>
      </w:r>
    </w:p>
    <w:p w:rsidR="00B71682" w:rsidRDefault="00B71682" w:rsidP="00F161EA">
      <w:pPr>
        <w:spacing w:after="0"/>
      </w:pPr>
      <w:r>
        <w:t xml:space="preserve">Be prepared for patients not sticking to the plan and reverting to overuse.  Patients may run out of medication early.  </w:t>
      </w:r>
    </w:p>
    <w:p w:rsidR="00B71682" w:rsidRDefault="00B71682" w:rsidP="00B71682">
      <w:pPr>
        <w:pStyle w:val="ListParagraph"/>
        <w:numPr>
          <w:ilvl w:val="0"/>
          <w:numId w:val="5"/>
        </w:numPr>
        <w:spacing w:after="0"/>
      </w:pPr>
      <w:r>
        <w:t>Explain that the use of</w:t>
      </w:r>
      <w:r w:rsidR="00CD088F">
        <w:t xml:space="preserve"> the opiate during withdrawal is</w:t>
      </w:r>
      <w:r>
        <w:t xml:space="preserve"> </w:t>
      </w:r>
      <w:proofErr w:type="gramStart"/>
      <w:r>
        <w:t>for the purpose of</w:t>
      </w:r>
      <w:proofErr w:type="gramEnd"/>
      <w:r>
        <w:t xml:space="preserve"> </w:t>
      </w:r>
      <w:r w:rsidR="00CD088F">
        <w:t xml:space="preserve">avoiding withdrawal symptoms.  </w:t>
      </w:r>
    </w:p>
    <w:p w:rsidR="00CD088F" w:rsidRDefault="00CD088F" w:rsidP="00B71682">
      <w:pPr>
        <w:pStyle w:val="ListParagraph"/>
        <w:numPr>
          <w:ilvl w:val="0"/>
          <w:numId w:val="5"/>
        </w:numPr>
        <w:spacing w:after="0"/>
      </w:pPr>
      <w:r>
        <w:t>The pain flare-ups will be managed with the non-opioid or non-pharmacological measures.</w:t>
      </w:r>
    </w:p>
    <w:p w:rsidR="00CD088F" w:rsidRDefault="00CD088F" w:rsidP="00B71682">
      <w:pPr>
        <w:pStyle w:val="ListParagraph"/>
        <w:numPr>
          <w:ilvl w:val="0"/>
          <w:numId w:val="5"/>
        </w:numPr>
        <w:spacing w:after="0"/>
      </w:pPr>
      <w:r>
        <w:t>Encourage the patient to put together a plan and measures for flare ups such as:</w:t>
      </w:r>
    </w:p>
    <w:p w:rsidR="00CD088F" w:rsidRDefault="00CD088F" w:rsidP="00CD088F">
      <w:pPr>
        <w:pStyle w:val="ListParagraph"/>
        <w:numPr>
          <w:ilvl w:val="1"/>
          <w:numId w:val="5"/>
        </w:numPr>
        <w:spacing w:after="0"/>
      </w:pPr>
      <w:r>
        <w:t>Taking hot baths</w:t>
      </w:r>
    </w:p>
    <w:p w:rsidR="00CD088F" w:rsidRDefault="00CD088F" w:rsidP="00CD088F">
      <w:pPr>
        <w:pStyle w:val="ListParagraph"/>
        <w:numPr>
          <w:ilvl w:val="1"/>
          <w:numId w:val="5"/>
        </w:numPr>
        <w:spacing w:after="0"/>
      </w:pPr>
      <w:r>
        <w:t>Distracting themselves with an enjoyable book or movie</w:t>
      </w:r>
    </w:p>
    <w:p w:rsidR="00CD088F" w:rsidRDefault="00CD088F" w:rsidP="00CD088F">
      <w:pPr>
        <w:pStyle w:val="ListParagraph"/>
        <w:numPr>
          <w:ilvl w:val="1"/>
          <w:numId w:val="5"/>
        </w:numPr>
        <w:spacing w:after="0"/>
      </w:pPr>
      <w:r>
        <w:t>Involving support persons to help them through</w:t>
      </w:r>
    </w:p>
    <w:p w:rsidR="00CD088F" w:rsidRDefault="00CD088F" w:rsidP="00CD088F">
      <w:pPr>
        <w:pStyle w:val="ListParagraph"/>
        <w:spacing w:after="0"/>
        <w:ind w:left="1440"/>
      </w:pPr>
    </w:p>
    <w:p w:rsidR="00CD088F" w:rsidRDefault="00CD088F" w:rsidP="00CD088F">
      <w:pPr>
        <w:spacing w:after="0"/>
        <w:rPr>
          <w:b/>
        </w:rPr>
      </w:pPr>
      <w:r>
        <w:rPr>
          <w:b/>
        </w:rPr>
        <w:t>Medications for withdrawal</w:t>
      </w:r>
    </w:p>
    <w:p w:rsidR="00CD088F" w:rsidRDefault="00CD088F" w:rsidP="00CD088F">
      <w:pPr>
        <w:pStyle w:val="ListParagraph"/>
        <w:numPr>
          <w:ilvl w:val="0"/>
          <w:numId w:val="7"/>
        </w:numPr>
        <w:spacing w:after="0"/>
      </w:pPr>
      <w:r>
        <w:t>Clonidine 0.1 mg at bedtime or twice a day (avoid this if the patient is on a beta-blocker or if they have low B.P.)</w:t>
      </w:r>
    </w:p>
    <w:p w:rsidR="00CD088F" w:rsidRDefault="00CD088F" w:rsidP="00CD088F">
      <w:pPr>
        <w:pStyle w:val="ListParagraph"/>
        <w:numPr>
          <w:ilvl w:val="0"/>
          <w:numId w:val="7"/>
        </w:numPr>
        <w:spacing w:after="0"/>
      </w:pPr>
      <w:r>
        <w:t>Hydroxyzine for anxiety or sleep disturbance</w:t>
      </w:r>
    </w:p>
    <w:p w:rsidR="00CD088F" w:rsidRDefault="00CD088F" w:rsidP="00CD088F">
      <w:pPr>
        <w:pStyle w:val="ListParagraph"/>
        <w:numPr>
          <w:ilvl w:val="0"/>
          <w:numId w:val="7"/>
        </w:numPr>
        <w:spacing w:after="0"/>
      </w:pPr>
      <w:r>
        <w:t>If the patient agrees, engage the patients significant other or support person in the planning.  Invite the patient to consider having this person dispense the opiate medication.</w:t>
      </w:r>
    </w:p>
    <w:p w:rsidR="00CD088F" w:rsidRDefault="00CD088F" w:rsidP="00CD088F">
      <w:pPr>
        <w:pStyle w:val="ListParagraph"/>
        <w:numPr>
          <w:ilvl w:val="0"/>
          <w:numId w:val="7"/>
        </w:numPr>
        <w:spacing w:after="0"/>
      </w:pPr>
      <w:r>
        <w:t xml:space="preserve">Be prepared.  The issue may become one of addiction vs. dependence.  </w:t>
      </w:r>
    </w:p>
    <w:p w:rsidR="00F14E87" w:rsidRDefault="00F14E87" w:rsidP="00F14E87">
      <w:pPr>
        <w:spacing w:after="0"/>
      </w:pPr>
    </w:p>
    <w:p w:rsidR="00F14E87" w:rsidRDefault="00F14E87" w:rsidP="00F14E87">
      <w:pPr>
        <w:spacing w:after="0"/>
      </w:pPr>
    </w:p>
    <w:p w:rsidR="00F14E87" w:rsidRDefault="00F14E87" w:rsidP="00F14E87">
      <w:pPr>
        <w:spacing w:after="0"/>
      </w:pPr>
    </w:p>
    <w:p w:rsidR="00F14E87" w:rsidRDefault="00F14E87" w:rsidP="00F14E87">
      <w:pPr>
        <w:spacing w:after="0"/>
      </w:pPr>
    </w:p>
    <w:p w:rsidR="00F14E87" w:rsidRDefault="00F14E87" w:rsidP="00F14E87">
      <w:pPr>
        <w:spacing w:after="0"/>
      </w:pPr>
      <w:r>
        <w:t>Respectfully,</w:t>
      </w:r>
    </w:p>
    <w:p w:rsidR="00F14E87" w:rsidRDefault="00F14E87" w:rsidP="00F14E87">
      <w:pPr>
        <w:spacing w:after="0"/>
      </w:pPr>
    </w:p>
    <w:p w:rsidR="00F14E87" w:rsidRDefault="00F14E87" w:rsidP="00F14E87">
      <w:pPr>
        <w:spacing w:after="0"/>
      </w:pPr>
      <w:r>
        <w:t xml:space="preserve">James Hudson, MD </w:t>
      </w:r>
    </w:p>
    <w:p w:rsidR="00F14E87" w:rsidRDefault="00F14E87" w:rsidP="00F14E87">
      <w:pPr>
        <w:spacing w:after="0"/>
      </w:pPr>
      <w:r>
        <w:t xml:space="preserve">Medical Director of the Pain Center at MFB Hospital  </w:t>
      </w:r>
    </w:p>
    <w:p w:rsidR="003304A9" w:rsidRDefault="003304A9" w:rsidP="00F14E87">
      <w:pPr>
        <w:spacing w:after="0"/>
      </w:pPr>
    </w:p>
    <w:p w:rsidR="003304A9" w:rsidRDefault="003304A9" w:rsidP="00F14E87">
      <w:pPr>
        <w:spacing w:after="0"/>
      </w:pPr>
    </w:p>
    <w:p w:rsidR="003304A9" w:rsidRDefault="003304A9" w:rsidP="00F14E87">
      <w:pPr>
        <w:spacing w:after="0"/>
      </w:pPr>
    </w:p>
    <w:p w:rsidR="003304A9" w:rsidRDefault="003304A9" w:rsidP="00F14E87">
      <w:pPr>
        <w:spacing w:after="0"/>
      </w:pPr>
    </w:p>
    <w:p w:rsidR="003304A9" w:rsidRDefault="003304A9" w:rsidP="00F14E87">
      <w:pPr>
        <w:spacing w:after="0"/>
      </w:pPr>
    </w:p>
    <w:p w:rsidR="003304A9" w:rsidRDefault="003304A9" w:rsidP="00F14E87">
      <w:pPr>
        <w:spacing w:after="0"/>
      </w:pPr>
      <w:r>
        <w:t>Document available on the Mi-CCSI website.  See link below.</w:t>
      </w:r>
      <w:bookmarkStart w:id="0" w:name="_GoBack"/>
      <w:bookmarkEnd w:id="0"/>
    </w:p>
    <w:p w:rsidR="003304A9" w:rsidRDefault="003304A9" w:rsidP="00F14E87">
      <w:pPr>
        <w:spacing w:after="0"/>
      </w:pPr>
    </w:p>
    <w:p w:rsidR="003304A9" w:rsidRPr="00CD088F" w:rsidRDefault="003304A9" w:rsidP="00F14E87">
      <w:pPr>
        <w:spacing w:after="0"/>
      </w:pPr>
      <w:hyperlink r:id="rId5" w:history="1">
        <w:r>
          <w:rPr>
            <w:rStyle w:val="Hyperlink"/>
          </w:rPr>
          <w:t>https://www.miccsi.org/mi-ccsi-pain-management-resources/</w:t>
        </w:r>
      </w:hyperlink>
    </w:p>
    <w:p w:rsidR="00CD088F" w:rsidRPr="00CD088F" w:rsidRDefault="00CD088F" w:rsidP="00CD088F">
      <w:pPr>
        <w:pStyle w:val="ListParagraph"/>
        <w:spacing w:after="0"/>
        <w:rPr>
          <w:b/>
        </w:rPr>
      </w:pPr>
    </w:p>
    <w:p w:rsidR="008015EC" w:rsidRPr="008015EC" w:rsidRDefault="008015EC" w:rsidP="00C15731">
      <w:pPr>
        <w:rPr>
          <w:b/>
        </w:rPr>
      </w:pPr>
    </w:p>
    <w:p w:rsidR="00C15731" w:rsidRPr="00C15731" w:rsidRDefault="00C15731" w:rsidP="00C15731">
      <w:pPr>
        <w:jc w:val="center"/>
        <w:rPr>
          <w:b/>
          <w:sz w:val="24"/>
          <w:szCs w:val="24"/>
        </w:rPr>
      </w:pPr>
    </w:p>
    <w:sectPr w:rsidR="00C15731" w:rsidRPr="00C15731" w:rsidSect="00CD08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6990"/>
    <w:multiLevelType w:val="hybridMultilevel"/>
    <w:tmpl w:val="1974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A2446"/>
    <w:multiLevelType w:val="hybridMultilevel"/>
    <w:tmpl w:val="83887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108A2"/>
    <w:multiLevelType w:val="hybridMultilevel"/>
    <w:tmpl w:val="DDE89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F73C6"/>
    <w:multiLevelType w:val="hybridMultilevel"/>
    <w:tmpl w:val="85AA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573E0D"/>
    <w:multiLevelType w:val="hybridMultilevel"/>
    <w:tmpl w:val="65F4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3D17EF"/>
    <w:multiLevelType w:val="hybridMultilevel"/>
    <w:tmpl w:val="B42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473FB4"/>
    <w:multiLevelType w:val="hybridMultilevel"/>
    <w:tmpl w:val="5AEC61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31"/>
    <w:rsid w:val="000542CC"/>
    <w:rsid w:val="001F5054"/>
    <w:rsid w:val="003304A9"/>
    <w:rsid w:val="00337FAE"/>
    <w:rsid w:val="00351D8F"/>
    <w:rsid w:val="00405117"/>
    <w:rsid w:val="00417768"/>
    <w:rsid w:val="004960D1"/>
    <w:rsid w:val="004A1D2E"/>
    <w:rsid w:val="00681FBF"/>
    <w:rsid w:val="0073275C"/>
    <w:rsid w:val="007625D4"/>
    <w:rsid w:val="008015EC"/>
    <w:rsid w:val="008658D8"/>
    <w:rsid w:val="0092208C"/>
    <w:rsid w:val="0098299F"/>
    <w:rsid w:val="009C3206"/>
    <w:rsid w:val="009E0A7D"/>
    <w:rsid w:val="00B71682"/>
    <w:rsid w:val="00C15731"/>
    <w:rsid w:val="00C33D31"/>
    <w:rsid w:val="00CD088F"/>
    <w:rsid w:val="00D63851"/>
    <w:rsid w:val="00E748C8"/>
    <w:rsid w:val="00F14E87"/>
    <w:rsid w:val="00F1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96A4"/>
  <w15:chartTrackingRefBased/>
  <w15:docId w15:val="{C16A2D88-D017-4693-845D-44C6AD8D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08C"/>
    <w:pPr>
      <w:ind w:left="720"/>
      <w:contextualSpacing/>
    </w:pPr>
  </w:style>
  <w:style w:type="table" w:styleId="TableGrid">
    <w:name w:val="Table Grid"/>
    <w:basedOn w:val="TableNormal"/>
    <w:uiPriority w:val="39"/>
    <w:rsid w:val="0092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304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ccsi.org/mi-ccsi-pain-management-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Vos</dc:creator>
  <cp:keywords/>
  <dc:description/>
  <cp:lastModifiedBy>Susan Vos</cp:lastModifiedBy>
  <cp:revision>2</cp:revision>
  <dcterms:created xsi:type="dcterms:W3CDTF">2018-02-13T17:34:00Z</dcterms:created>
  <dcterms:modified xsi:type="dcterms:W3CDTF">2018-02-13T17:34:00Z</dcterms:modified>
</cp:coreProperties>
</file>